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25" w:rsidRDefault="00AF4825" w:rsidP="0045757F">
      <w:pPr>
        <w:pStyle w:val="Header"/>
        <w:pBdr>
          <w:top w:val="single" w:sz="4" w:space="1" w:color="auto"/>
        </w:pBdr>
        <w:spacing w:before="12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C6B9A" w:rsidRPr="00AF4825" w:rsidRDefault="00AF4825" w:rsidP="00AF48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Child Protection and Other Acts Amendment Bill 2010 amends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Child Protection Act 1999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a number of other Acts, including amendments to achieve the policy intent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Criminal History Screening Legislation Amendment Act 2010.</w:t>
      </w:r>
    </w:p>
    <w:p w:rsidR="00AF4825" w:rsidRPr="00AF4825" w:rsidRDefault="00AF4825" w:rsidP="00AF482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C6B9A" w:rsidRDefault="002C6B9A" w:rsidP="00AF48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648E">
        <w:rPr>
          <w:rFonts w:ascii="Arial" w:hAnsi="Arial" w:cs="Arial"/>
          <w:bCs/>
          <w:spacing w:val="-3"/>
          <w:sz w:val="22"/>
          <w:szCs w:val="22"/>
        </w:rPr>
        <w:t>The Child Protection and Other Acts Amendmen</w:t>
      </w:r>
      <w:r w:rsidR="00C85B16">
        <w:rPr>
          <w:rFonts w:ascii="Arial" w:hAnsi="Arial" w:cs="Arial"/>
          <w:bCs/>
          <w:spacing w:val="-3"/>
          <w:sz w:val="22"/>
          <w:szCs w:val="22"/>
        </w:rPr>
        <w:t>t Bill 2010 includes amendments</w:t>
      </w:r>
      <w:r w:rsidRPr="00CF648E">
        <w:rPr>
          <w:rFonts w:ascii="Arial" w:hAnsi="Arial" w:cs="Arial"/>
          <w:bCs/>
          <w:spacing w:val="-3"/>
          <w:sz w:val="22"/>
          <w:szCs w:val="22"/>
        </w:rPr>
        <w:t xml:space="preserve"> to enable information sharing for the Helping Out Families initiative</w:t>
      </w:r>
      <w:r w:rsidR="00C85B16">
        <w:rPr>
          <w:rFonts w:ascii="Arial" w:hAnsi="Arial" w:cs="Arial"/>
          <w:bCs/>
          <w:spacing w:val="-3"/>
          <w:sz w:val="22"/>
          <w:szCs w:val="22"/>
        </w:rPr>
        <w:t>,</w:t>
      </w:r>
      <w:r w:rsidRPr="00CF648E">
        <w:rPr>
          <w:rFonts w:ascii="Arial" w:hAnsi="Arial" w:cs="Arial"/>
          <w:bCs/>
          <w:spacing w:val="-3"/>
          <w:sz w:val="22"/>
          <w:szCs w:val="22"/>
        </w:rPr>
        <w:t xml:space="preserve"> and contains other amendments which will improve the operat</w:t>
      </w:r>
      <w:r w:rsidR="00C85B16">
        <w:rPr>
          <w:rFonts w:ascii="Arial" w:hAnsi="Arial" w:cs="Arial"/>
          <w:bCs/>
          <w:spacing w:val="-3"/>
          <w:sz w:val="22"/>
          <w:szCs w:val="22"/>
        </w:rPr>
        <w:t>ion of a number of court orders</w:t>
      </w:r>
      <w:r w:rsidRPr="00CF648E">
        <w:rPr>
          <w:rFonts w:ascii="Arial" w:hAnsi="Arial" w:cs="Arial"/>
          <w:bCs/>
          <w:spacing w:val="-3"/>
          <w:sz w:val="22"/>
          <w:szCs w:val="22"/>
        </w:rPr>
        <w:t xml:space="preserve"> and improving stability for children and the Department of Communities’ ability to secure the safety of children.</w:t>
      </w:r>
    </w:p>
    <w:p w:rsidR="00AF4825" w:rsidRDefault="00AF4825" w:rsidP="00AF482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C6B9A" w:rsidRDefault="002C6B9A" w:rsidP="00AF48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6B9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F648E">
        <w:rPr>
          <w:rFonts w:ascii="Arial" w:hAnsi="Arial" w:cs="Arial"/>
          <w:bCs/>
          <w:spacing w:val="-3"/>
          <w:sz w:val="22"/>
          <w:szCs w:val="22"/>
        </w:rPr>
        <w:t xml:space="preserve"> the introduction of the Child Protection and Other Acts Amendment Bill 2010.</w:t>
      </w:r>
    </w:p>
    <w:p w:rsidR="00AF4825" w:rsidRDefault="00AF4825" w:rsidP="00C85B16">
      <w:p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2C6B9A" w:rsidRPr="00CF648E" w:rsidRDefault="002C6B9A" w:rsidP="00AF48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648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C6B9A" w:rsidRPr="00CF648E" w:rsidRDefault="006155CA" w:rsidP="00C85B1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C6B9A" w:rsidRPr="008D5F0F">
          <w:rPr>
            <w:rStyle w:val="Hyperlink"/>
            <w:rFonts w:ascii="Arial" w:hAnsi="Arial" w:cs="Arial"/>
            <w:sz w:val="22"/>
            <w:szCs w:val="22"/>
          </w:rPr>
          <w:t>Child Protection and Other Acts Amendment Bill 2010</w:t>
        </w:r>
      </w:hyperlink>
      <w:r w:rsidR="002C6B9A" w:rsidRPr="00CF648E">
        <w:rPr>
          <w:rFonts w:ascii="Arial" w:hAnsi="Arial" w:cs="Arial"/>
          <w:sz w:val="22"/>
          <w:szCs w:val="22"/>
        </w:rPr>
        <w:t xml:space="preserve"> </w:t>
      </w:r>
    </w:p>
    <w:p w:rsidR="002C6B9A" w:rsidRPr="00CF648E" w:rsidRDefault="006155CA" w:rsidP="00C85B1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2C6B9A" w:rsidRPr="008D5F0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2C6B9A" w:rsidRDefault="002C6B9A" w:rsidP="00AF4825"/>
    <w:p w:rsidR="00163061" w:rsidRDefault="00163061" w:rsidP="00AF4825"/>
    <w:sectPr w:rsidR="00163061" w:rsidSect="002C6B9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54" w:rsidRDefault="00337854">
      <w:r>
        <w:separator/>
      </w:r>
    </w:p>
  </w:endnote>
  <w:endnote w:type="continuationSeparator" w:id="0">
    <w:p w:rsidR="00337854" w:rsidRDefault="0033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54" w:rsidRDefault="00337854">
      <w:r>
        <w:separator/>
      </w:r>
    </w:p>
  </w:footnote>
  <w:footnote w:type="continuationSeparator" w:id="0">
    <w:p w:rsidR="00337854" w:rsidRDefault="0033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F" w:rsidRDefault="0045757F" w:rsidP="0045757F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45757F" w:rsidRDefault="0045757F" w:rsidP="0045757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5757F" w:rsidRPr="000400F9" w:rsidRDefault="00761826" w:rsidP="0045757F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7F" w:rsidRPr="000400F9">
      <w:rPr>
        <w:rFonts w:ascii="Arial" w:hAnsi="Arial" w:cs="Arial"/>
        <w:b/>
        <w:sz w:val="22"/>
        <w:szCs w:val="22"/>
        <w:u w:val="single"/>
      </w:rPr>
      <w:t xml:space="preserve">Cabinet </w:t>
    </w:r>
    <w:r w:rsidR="0045757F" w:rsidRPr="00322F36">
      <w:rPr>
        <w:rFonts w:ascii="Arial" w:hAnsi="Arial" w:cs="Arial"/>
        <w:b/>
        <w:sz w:val="22"/>
        <w:szCs w:val="22"/>
        <w:u w:val="single"/>
      </w:rPr>
      <w:t>– June 2010</w:t>
    </w:r>
  </w:p>
  <w:p w:rsidR="0045757F" w:rsidRDefault="0045757F" w:rsidP="0045757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Child Protection and Other Acts Amendment Bill 2010</w:t>
    </w:r>
  </w:p>
  <w:p w:rsidR="0045757F" w:rsidRDefault="0045757F" w:rsidP="0045757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 and Minister for Sport</w:t>
    </w:r>
  </w:p>
  <w:p w:rsidR="0045757F" w:rsidRDefault="0045757F" w:rsidP="004575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814088A"/>
    <w:lvl w:ilvl="0" w:tplc="DD222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A"/>
    <w:rsid w:val="00076BF4"/>
    <w:rsid w:val="00077E13"/>
    <w:rsid w:val="00163061"/>
    <w:rsid w:val="001C3BD3"/>
    <w:rsid w:val="001D3624"/>
    <w:rsid w:val="002C6B9A"/>
    <w:rsid w:val="00337854"/>
    <w:rsid w:val="003D7BEC"/>
    <w:rsid w:val="0045757F"/>
    <w:rsid w:val="004E0578"/>
    <w:rsid w:val="006155CA"/>
    <w:rsid w:val="00761826"/>
    <w:rsid w:val="008A2F59"/>
    <w:rsid w:val="008D5F0F"/>
    <w:rsid w:val="00955013"/>
    <w:rsid w:val="00AF4825"/>
    <w:rsid w:val="00C85B16"/>
    <w:rsid w:val="00CC36F0"/>
    <w:rsid w:val="00D94CD1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9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B9A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link w:val="FooterChar"/>
    <w:rsid w:val="00457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757F"/>
    <w:rPr>
      <w:color w:val="000000"/>
      <w:sz w:val="24"/>
    </w:rPr>
  </w:style>
  <w:style w:type="character" w:styleId="Hyperlink">
    <w:name w:val="Hyperlink"/>
    <w:basedOn w:val="DefaultParagraphFont"/>
    <w:rsid w:val="008D5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hildProOAAmB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ChildProOAAmB10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E6AD-B6B6-496F-B820-B194ED6E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</CharactersWithSpaces>
  <SharedDoc>false</SharedDoc>
  <HyperlinkBase>https://www.cabinet.qld.gov.au/documents/2010/Jun/Child Protection Bill 2010/</HyperlinkBase>
  <HLinks>
    <vt:vector size="12" baseType="variant"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Attachments/ChildProOAAmB10E.pdf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Attachments/ChildProOAAmB10.pdf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Legislation,child_safety</cp:keywords>
  <dc:description/>
  <cp:lastModifiedBy/>
  <cp:revision>2</cp:revision>
  <dcterms:created xsi:type="dcterms:W3CDTF">2017-10-24T22:19:00Z</dcterms:created>
  <dcterms:modified xsi:type="dcterms:W3CDTF">2018-03-06T01:03:00Z</dcterms:modified>
  <cp:category>Legislation,Child_Safety,Children</cp:category>
</cp:coreProperties>
</file>